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header3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15.odttf" ContentType="application/vnd.openxmlformats-officedocument.obfuscatedFont"/>
  <Override PartName="/word/fonts/font3.odttf" ContentType="application/vnd.openxmlformats-officedocument.obfuscatedFont"/>
  <Override PartName="/word/fonts/font16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5.odttf" ContentType="application/vnd.openxmlformats-officedocument.obfuscatedFont"/>
  <Override PartName="/word/fonts/font1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0.odttf" ContentType="application/vnd.openxmlformats-officedocument.obfuscatedFont"/>
  <Override PartName="/word/fonts/font13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oter3.xml" ContentType="application/vnd.openxmlformats-officedocument.wordprocessingml.footer+xml"/>
  <Override PartName="/word/media/image1.png" ContentType="image/png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400" w:after="80"/>
        <w:rPr/>
      </w:pPr>
      <w:r>
        <w:rPr>
          <w:rFonts w:eastAsia="Calibri" w:cs="Calibri"/>
          <w:b/>
          <w:bCs/>
          <w:i/>
          <w:iCs/>
          <w:color w:val="8B2B8B"/>
          <w:sz w:val="28"/>
          <w:szCs w:val="28"/>
        </w:rPr>
        <w:t>INVOICE #{{INVOICE_NUMBER}}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0"/>
          <w:szCs w:val="20"/>
        </w:rPr>
        <w:t xml:space="preserve">Due Date: </w:t>
      </w:r>
      <w:r>
        <w:rPr>
          <w:rFonts w:eastAsia="Calibri" w:cs="Calibri"/>
          <w:sz w:val="20"/>
          <w:szCs w:val="20"/>
        </w:rPr>
        <w:t>{{DUE_DATE}}</w:t>
      </w:r>
    </w:p>
    <w:p>
      <w:pPr>
        <w:pStyle w:val="normal1"/>
        <w:spacing w:lineRule="auto" w:line="240" w:before="80" w:after="0"/>
        <w:rPr/>
      </w:pPr>
      <w:r>
        <w:rPr>
          <w:rFonts w:eastAsia="Calibri" w:cs="Calibri"/>
          <w:b/>
          <w:bCs/>
          <w:sz w:val="20"/>
          <w:szCs w:val="20"/>
        </w:rPr>
        <w:t>Bill To:</w:t>
      </w:r>
    </w:p>
    <w:p>
      <w:pPr>
        <w:pStyle w:val="normal1"/>
        <w:spacing w:lineRule="auto" w:line="240" w:before="0" w:after="200"/>
        <w:rPr/>
      </w:pPr>
      <w:r>
        <w:rPr>
          <w:rFonts w:eastAsia="Calibri" w:cs="Calibri"/>
          <w:sz w:val="20"/>
          <w:szCs w:val="20"/>
        </w:rPr>
        <w:t>{{NAME_ADDRESS}}</w:t>
      </w:r>
    </w:p>
    <w:tbl>
      <w:tblPr>
        <w:tblStyle w:val="Table1"/>
        <w:tblW w:w="9360" w:type="dxa"/>
        <w:jc w:val="left"/>
        <w:tblInd w:w="0" w:type="dxa"/>
        <w:tblLayout w:type="fixed"/>
        <w:tblCellMar>
          <w:top w:w="80" w:type="dxa"/>
          <w:left w:w="120" w:type="dxa"/>
          <w:bottom w:w="80" w:type="dxa"/>
          <w:right w:w="120" w:type="dxa"/>
        </w:tblCellMar>
        <w:tblLook w:val="0000"/>
      </w:tblPr>
      <w:tblGrid>
        <w:gridCol w:w="5200"/>
        <w:gridCol w:w="1399"/>
        <w:gridCol w:w="1200"/>
        <w:gridCol w:w="1560"/>
      </w:tblGrid>
      <w:tr>
        <w:trPr>
          <w:tblHeader w:val="true"/>
        </w:trPr>
        <w:tc>
          <w:tcPr>
            <w:tcW w:w="520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fill="8B2B8B" w:val="clear"/>
          </w:tcPr>
          <w:p>
            <w:pPr>
              <w:pStyle w:val="normal1"/>
              <w:jc w:val="center"/>
              <w:rPr/>
            </w:pPr>
            <w:r>
              <w:rPr>
                <w:rFonts w:eastAsia="Calibri" w:cs="Calibri"/>
                <w:b/>
                <w:bCs/>
                <w:color w:val="FFFFFF"/>
                <w:sz w:val="20"/>
                <w:szCs w:val="20"/>
              </w:rPr>
              <w:t>DESCRIPTION</w:t>
            </w:r>
          </w:p>
        </w:tc>
        <w:tc>
          <w:tcPr>
            <w:tcW w:w="1399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fill="8B2B8B" w:val="clear"/>
            <w:tcMar>
              <w:left w:w="80" w:type="dxa"/>
              <w:right w:w="80" w:type="dxa"/>
            </w:tcMar>
          </w:tcPr>
          <w:p>
            <w:pPr>
              <w:pStyle w:val="normal1"/>
              <w:jc w:val="center"/>
              <w:rPr/>
            </w:pPr>
            <w:r>
              <w:rPr>
                <w:rFonts w:eastAsia="Calibri" w:cs="Calibri"/>
                <w:b/>
                <w:bCs/>
                <w:color w:val="FFFFFF"/>
                <w:sz w:val="20"/>
                <w:szCs w:val="20"/>
              </w:rPr>
              <w:t>DURATION</w:t>
            </w:r>
          </w:p>
        </w:tc>
        <w:tc>
          <w:tcPr>
            <w:tcW w:w="120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fill="8B2B8B" w:val="clear"/>
            <w:tcMar>
              <w:left w:w="80" w:type="dxa"/>
              <w:right w:w="80" w:type="dxa"/>
            </w:tcMar>
          </w:tcPr>
          <w:p>
            <w:pPr>
              <w:pStyle w:val="normal1"/>
              <w:jc w:val="center"/>
              <w:rPr/>
            </w:pPr>
            <w:r>
              <w:rPr>
                <w:rFonts w:eastAsia="Calibri" w:cs="Calibri"/>
                <w:b/>
                <w:bCs/>
                <w:color w:val="FFFFFF"/>
                <w:sz w:val="20"/>
                <w:szCs w:val="20"/>
              </w:rPr>
              <w:t>USER(S)</w:t>
            </w:r>
          </w:p>
        </w:tc>
        <w:tc>
          <w:tcPr>
            <w:tcW w:w="156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fill="8B2B8B" w:val="clear"/>
            <w:tcMar>
              <w:left w:w="80" w:type="dxa"/>
              <w:right w:w="80" w:type="dxa"/>
            </w:tcMar>
          </w:tcPr>
          <w:p>
            <w:pPr>
              <w:pStyle w:val="normal1"/>
              <w:jc w:val="center"/>
              <w:rPr/>
            </w:pPr>
            <w:r>
              <w:rPr>
                <w:rFonts w:eastAsia="Calibri" w:cs="Calibri"/>
                <w:b/>
                <w:bCs/>
                <w:color w:val="FFFFFF"/>
                <w:sz w:val="20"/>
                <w:szCs w:val="20"/>
              </w:rPr>
              <w:t>AMOUNT</w:t>
            </w:r>
          </w:p>
        </w:tc>
      </w:tr>
      <w:tr>
        <w:trPr/>
        <w:tc>
          <w:tcPr>
            <w:tcW w:w="520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tcMar>
              <w:top w:w="120" w:type="dxa"/>
              <w:left w:w="150" w:type="dxa"/>
              <w:bottom w:w="120" w:type="dxa"/>
            </w:tcMar>
          </w:tcPr>
          <w:p>
            <w:pPr>
              <w:pStyle w:val="normal1"/>
              <w:spacing w:lineRule="auto" w:line="240" w:before="0" w:after="120"/>
              <w:rPr/>
            </w:pPr>
            <w:r>
              <w:rPr>
                <w:rFonts w:eastAsia="Calibri" w:cs="Calibri"/>
                <w:b/>
                <w:bCs/>
                <w:color w:val="8B2B8B"/>
                <w:sz w:val="24"/>
                <w:szCs w:val="24"/>
              </w:rPr>
              <w:t>Plus Plan:</w:t>
            </w:r>
          </w:p>
          <w:p>
            <w:pPr>
              <w:pStyle w:val="normal1"/>
              <w:spacing w:lineRule="auto" w:line="240" w:before="0" w:after="80"/>
              <w:rPr/>
            </w:pPr>
            <w:r>
              <w:rPr>
                <w:rFonts w:eastAsia="Calibri" w:cs="Calibri"/>
                <w:sz w:val="19"/>
                <w:szCs w:val="19"/>
              </w:rPr>
              <w:t xml:space="preserve">Access to JUDY's library of </w:t>
            </w:r>
            <w:r>
              <w:rPr>
                <w:rFonts w:eastAsia="Calibri" w:cs="Calibri"/>
                <w:sz w:val="19"/>
                <w:szCs w:val="19"/>
                <w:u w:val="single"/>
              </w:rPr>
              <w:t>Case Law</w:t>
            </w:r>
            <w:r>
              <w:rPr>
                <w:rFonts w:eastAsia="Calibri" w:cs="Calibri"/>
                <w:sz w:val="19"/>
                <w:szCs w:val="19"/>
              </w:rPr>
              <w:t xml:space="preserve">, </w:t>
            </w:r>
            <w:r>
              <w:rPr>
                <w:rFonts w:eastAsia="Calibri" w:cs="Calibri"/>
                <w:sz w:val="19"/>
                <w:szCs w:val="19"/>
                <w:u w:val="single"/>
              </w:rPr>
              <w:t>Legislations</w:t>
            </w:r>
            <w:r>
              <w:rPr>
                <w:rFonts w:eastAsia="Calibri" w:cs="Calibri"/>
                <w:sz w:val="19"/>
                <w:szCs w:val="19"/>
              </w:rPr>
              <w:t xml:space="preserve">, </w:t>
            </w:r>
            <w:r>
              <w:rPr>
                <w:rFonts w:eastAsia="Calibri" w:cs="Calibri"/>
                <w:sz w:val="19"/>
                <w:szCs w:val="19"/>
                <w:u w:val="single"/>
              </w:rPr>
              <w:t>Court Rules</w:t>
            </w:r>
            <w:r>
              <w:rPr>
                <w:rFonts w:eastAsia="Calibri" w:cs="Calibri"/>
                <w:sz w:val="19"/>
                <w:szCs w:val="19"/>
              </w:rPr>
              <w:t xml:space="preserve"> from:</w:t>
            </w:r>
          </w:p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1"/>
              </w:numPr>
              <w:shd w:val="clear" w:fill="auto"/>
              <w:spacing w:lineRule="auto" w:line="240" w:before="0" w:after="80"/>
              <w:ind w:hanging="360" w:left="720" w:right="0"/>
              <w:jc w:val="left"/>
              <w:rPr/>
            </w:pPr>
            <w:r>
              <w:rPr>
                <w:rFonts w:eastAsia="Calibri" w:cs="Calibri"/>
                <w:b/>
                <w:bCs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9"/>
                <w:sz w:val="19"/>
                <w:szCs w:val="19"/>
                <w:u w:val="none"/>
                <w:shd w:fill="auto" w:val="clear"/>
                <w:vertAlign w:val="baseline"/>
              </w:rPr>
              <w:t>The Republic of Ghana</w:t>
            </w:r>
          </w:p>
          <w:p>
            <w:pPr>
              <w:pStyle w:val="normal1"/>
              <w:spacing w:lineRule="auto" w:line="240" w:before="120" w:after="80"/>
              <w:rPr/>
            </w:pPr>
            <w:r>
              <w:rPr>
                <w:rFonts w:eastAsia="Calibri" w:cs="Calibri"/>
                <w:b/>
                <w:bCs/>
                <w:color w:val="8B2B8B"/>
                <w:sz w:val="19"/>
                <w:szCs w:val="19"/>
              </w:rPr>
              <w:t>Premium "JUDY Plus" Features:</w:t>
            </w:r>
          </w:p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hanging="360" w:left="720" w:right="0"/>
              <w:jc w:val="left"/>
              <w:rPr/>
            </w:pPr>
            <w:r>
              <w:rPr>
                <w:rFonts w:eastAsia="Calibri" w:cs="Calibri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9"/>
                <w:sz w:val="19"/>
                <w:szCs w:val="19"/>
                <w:u w:val="none"/>
                <w:shd w:fill="auto" w:val="clear"/>
                <w:vertAlign w:val="baseline"/>
              </w:rPr>
              <w:t>Assisted Research (Artificial Intelligence)</w:t>
            </w:r>
          </w:p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hanging="360" w:left="720" w:right="0"/>
              <w:jc w:val="left"/>
              <w:rPr/>
            </w:pPr>
            <w:r>
              <w:rPr>
                <w:rFonts w:eastAsia="Calibri" w:cs="Calibri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9"/>
                <w:sz w:val="19"/>
                <w:szCs w:val="19"/>
                <w:u w:val="none"/>
                <w:shd w:fill="auto" w:val="clear"/>
                <w:vertAlign w:val="baseline"/>
              </w:rPr>
              <w:t>BriefBot Summaries (Artificial Intelligence)</w:t>
            </w:r>
          </w:p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hanging="360" w:left="720" w:right="0"/>
              <w:jc w:val="left"/>
              <w:rPr/>
            </w:pPr>
            <w:r>
              <w:rPr>
                <w:rFonts w:eastAsia="Calibri" w:cs="Calibri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9"/>
                <w:sz w:val="19"/>
                <w:szCs w:val="19"/>
                <w:u w:val="none"/>
                <w:shd w:fill="auto" w:val="clear"/>
                <w:vertAlign w:val="baseline"/>
              </w:rPr>
              <w:t>Consolidation of legislations</w:t>
            </w:r>
          </w:p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1"/>
              </w:numPr>
              <w:shd w:val="clear" w:fill="auto"/>
              <w:spacing w:lineRule="auto" w:line="240" w:before="0" w:after="80"/>
              <w:ind w:hanging="360" w:left="720" w:right="0"/>
              <w:jc w:val="left"/>
              <w:rPr/>
            </w:pPr>
            <w:r>
              <w:rPr>
                <w:rFonts w:eastAsia="Calibri" w:cs="Calibri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9"/>
                <w:sz w:val="19"/>
                <w:szCs w:val="19"/>
                <w:u w:val="none"/>
                <w:shd w:fill="auto" w:val="clear"/>
                <w:vertAlign w:val="baseline"/>
              </w:rPr>
              <w:t>More</w:t>
            </w:r>
          </w:p>
          <w:p>
            <w:pPr>
              <w:pStyle w:val="normal1"/>
              <w:spacing w:lineRule="auto" w:line="240" w:before="100" w:after="60"/>
              <w:rPr/>
            </w:pPr>
            <w:r>
              <w:rPr>
                <w:rFonts w:eastAsia="Calibri" w:cs="Calibri"/>
                <w:i/>
                <w:iCs/>
                <w:sz w:val="18"/>
                <w:szCs w:val="18"/>
              </w:rPr>
              <w:t>Includes maintenance and technical customer support on:</w:t>
            </w:r>
          </w:p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1"/>
              </w:numPr>
              <w:shd w:val="clear" w:fill="auto"/>
              <w:spacing w:lineRule="auto" w:line="240" w:before="0" w:after="60"/>
              <w:ind w:hanging="360" w:left="720" w:right="0"/>
              <w:jc w:val="left"/>
              <w:rPr/>
            </w:pPr>
            <w:r>
              <w:rPr>
                <w:rFonts w:eastAsia="Calibri" w:cs="Calibri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9"/>
                <w:sz w:val="19"/>
                <w:szCs w:val="19"/>
                <w:u w:val="none"/>
                <w:shd w:fill="auto" w:val="clear"/>
                <w:vertAlign w:val="baseline"/>
              </w:rPr>
              <w:t>Website</w:t>
            </w:r>
          </w:p>
          <w:p>
            <w:pPr>
              <w:pStyle w:val="normal1"/>
              <w:spacing w:lineRule="auto" w:line="240" w:before="0" w:after="60"/>
              <w:rPr/>
            </w:pPr>
            <w:r>
              <w:rPr>
                <w:rFonts w:eastAsia="Calibri" w:cs="Calibri"/>
                <w:i/>
                <w:iCs/>
                <w:sz w:val="18"/>
                <w:szCs w:val="18"/>
              </w:rPr>
              <w:t>Other:</w:t>
            </w:r>
          </w:p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hanging="360" w:left="720" w:right="0"/>
              <w:jc w:val="left"/>
              <w:rPr/>
            </w:pPr>
            <w:r>
              <w:rPr>
                <w:rFonts w:eastAsia="Calibri" w:cs="Calibri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9"/>
                <w:sz w:val="19"/>
                <w:szCs w:val="19"/>
                <w:u w:val="none"/>
                <w:shd w:fill="auto" w:val="clear"/>
                <w:vertAlign w:val="baseline"/>
              </w:rPr>
              <w:t>Service Capacity: 98.99% uptime guaranteed</w:t>
            </w:r>
          </w:p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hanging="360" w:left="720" w:right="0"/>
              <w:jc w:val="left"/>
              <w:rPr/>
            </w:pPr>
            <w:r>
              <w:rPr>
                <w:rFonts w:eastAsia="Calibri" w:cs="Calibri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9"/>
                <w:sz w:val="19"/>
                <w:szCs w:val="19"/>
                <w:u w:val="none"/>
                <w:shd w:fill="auto" w:val="clear"/>
                <w:vertAlign w:val="baseline"/>
              </w:rPr>
              <w:t>Staff Training on collaborative research &amp; other key features</w:t>
            </w:r>
          </w:p>
        </w:tc>
        <w:tc>
          <w:tcPr>
            <w:tcW w:w="1399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1"/>
              <w:jc w:val="center"/>
              <w:rPr/>
            </w:pPr>
            <w:r>
              <w:rPr>
                <w:rFonts w:eastAsia="Calibri" w:cs="Calibri"/>
                <w:sz w:val="20"/>
                <w:szCs w:val="20"/>
              </w:rPr>
              <w:t>{{DURATION}}</w:t>
            </w:r>
          </w:p>
        </w:tc>
        <w:tc>
          <w:tcPr>
            <w:tcW w:w="120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1"/>
              <w:jc w:val="center"/>
              <w:rPr/>
            </w:pPr>
            <w:r>
              <w:rPr>
                <w:rFonts w:eastAsia="Calibri" w:cs="Calibri"/>
                <w:sz w:val="20"/>
                <w:szCs w:val="20"/>
              </w:rPr>
              <w:t>{{USERS}}</w:t>
            </w:r>
          </w:p>
        </w:tc>
        <w:tc>
          <w:tcPr>
            <w:tcW w:w="156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1"/>
              <w:jc w:val="center"/>
              <w:rPr/>
            </w:pPr>
            <w:r>
              <w:rPr>
                <w:rFonts w:eastAsia="Calibri" w:cs="Calibri"/>
                <w:sz w:val="20"/>
                <w:szCs w:val="20"/>
              </w:rPr>
              <w:t>GH</w:t>
            </w:r>
            <w:r>
              <w:rPr>
                <w:rFonts w:eastAsia="Calibri" w:cs="Calibri"/>
                <w:sz w:val="20"/>
                <w:szCs w:val="20"/>
              </w:rPr>
              <w:t>S</w:t>
            </w:r>
            <w:r>
              <w:rPr>
                <w:rFonts w:eastAsia="Calibri" w:cs="Calibri"/>
                <w:sz w:val="20"/>
                <w:szCs w:val="20"/>
              </w:rPr>
              <w:t>{{BASE}}</w:t>
            </w:r>
          </w:p>
        </w:tc>
      </w:tr>
    </w:tbl>
    <w:p>
      <w:pPr>
        <w:pStyle w:val="normal1"/>
        <w:spacing w:lineRule="auto" w:line="240" w:before="0" w:after="200"/>
        <w:rPr/>
      </w:pPr>
      <w:r>
        <w:rPr/>
      </w:r>
    </w:p>
    <w:tbl>
      <w:tblPr>
        <w:tblStyle w:val="Table2"/>
        <w:tblW w:w="4000" w:type="dxa"/>
        <w:jc w:val="right"/>
        <w:tblInd w:w="0" w:type="dxa"/>
        <w:tblLayout w:type="fixed"/>
        <w:tblCellMar>
          <w:top w:w="60" w:type="dxa"/>
          <w:left w:w="108" w:type="dxa"/>
          <w:bottom w:w="60" w:type="dxa"/>
          <w:right w:w="120" w:type="dxa"/>
        </w:tblCellMar>
        <w:tblLook w:val="0000"/>
      </w:tblPr>
      <w:tblGrid>
        <w:gridCol w:w="2200"/>
        <w:gridCol w:w="1799"/>
      </w:tblGrid>
      <w:tr>
        <w:trPr/>
        <w:tc>
          <w:tcPr>
            <w:tcW w:w="2200" w:type="dxa"/>
            <w:tcBorders/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sz w:val="19"/>
                <w:szCs w:val="19"/>
              </w:rPr>
              <w:t>SUBTOTAL</w:t>
            </w:r>
          </w:p>
        </w:tc>
        <w:tc>
          <w:tcPr>
            <w:tcW w:w="1799" w:type="dxa"/>
            <w:tcBorders/>
            <w:tcMar>
              <w:left w:w="120" w:type="dxa"/>
              <w:right w:w="108" w:type="dxa"/>
            </w:tcMar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sz w:val="19"/>
                <w:szCs w:val="19"/>
              </w:rPr>
              <w:t>GHS {{SUBTOTAL}}</w:t>
            </w:r>
          </w:p>
        </w:tc>
      </w:tr>
      <w:tr>
        <w:trPr/>
        <w:tc>
          <w:tcPr>
            <w:tcW w:w="2200" w:type="dxa"/>
            <w:tcBorders/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i/>
                <w:iCs/>
                <w:sz w:val="19"/>
                <w:szCs w:val="19"/>
              </w:rPr>
              <w:t>GTFL (2.5%)</w:t>
            </w:r>
          </w:p>
        </w:tc>
        <w:tc>
          <w:tcPr>
            <w:tcW w:w="1799" w:type="dxa"/>
            <w:tcBorders/>
            <w:tcMar>
              <w:left w:w="120" w:type="dxa"/>
              <w:right w:w="108" w:type="dxa"/>
            </w:tcMar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sz w:val="19"/>
                <w:szCs w:val="19"/>
              </w:rPr>
              <w:t>GHS {{GTFL}}</w:t>
            </w:r>
          </w:p>
        </w:tc>
      </w:tr>
      <w:tr>
        <w:trPr/>
        <w:tc>
          <w:tcPr>
            <w:tcW w:w="2200" w:type="dxa"/>
            <w:tcBorders/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i/>
                <w:iCs/>
                <w:sz w:val="19"/>
                <w:szCs w:val="19"/>
              </w:rPr>
              <w:t>NIHL (2.5%)</w:t>
            </w:r>
          </w:p>
        </w:tc>
        <w:tc>
          <w:tcPr>
            <w:tcW w:w="1799" w:type="dxa"/>
            <w:tcBorders/>
            <w:tcMar>
              <w:left w:w="120" w:type="dxa"/>
              <w:right w:w="108" w:type="dxa"/>
            </w:tcMar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sz w:val="19"/>
                <w:szCs w:val="19"/>
              </w:rPr>
              <w:t>GHS {{NIHL}}</w:t>
            </w:r>
          </w:p>
        </w:tc>
      </w:tr>
      <w:tr>
        <w:trPr/>
        <w:tc>
          <w:tcPr>
            <w:tcW w:w="2200" w:type="dxa"/>
            <w:tcBorders/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i/>
                <w:iCs/>
                <w:sz w:val="19"/>
                <w:szCs w:val="19"/>
              </w:rPr>
              <w:t>VAT (15%)</w:t>
            </w:r>
          </w:p>
        </w:tc>
        <w:tc>
          <w:tcPr>
            <w:tcW w:w="1799" w:type="dxa"/>
            <w:tcBorders/>
            <w:tcMar>
              <w:left w:w="120" w:type="dxa"/>
              <w:right w:w="108" w:type="dxa"/>
            </w:tcMar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sz w:val="19"/>
                <w:szCs w:val="19"/>
              </w:rPr>
              <w:t>GHS {{VAT}}</w:t>
            </w:r>
          </w:p>
        </w:tc>
      </w:tr>
      <w:tr>
        <w:trPr/>
        <w:tc>
          <w:tcPr>
            <w:tcW w:w="2200" w:type="dxa"/>
            <w:tcBorders>
              <w:top w:val="single" w:sz="8" w:space="0" w:color="8B2B8B"/>
              <w:left w:val="single" w:sz="8" w:space="0" w:color="8B2B8B"/>
              <w:bottom w:val="single" w:sz="8" w:space="0" w:color="8B2B8B"/>
            </w:tcBorders>
            <w:shd w:fill="8B2B8B" w:val="clear"/>
            <w:tcMar>
              <w:top w:w="80" w:type="dxa"/>
              <w:bottom w:w="80" w:type="dxa"/>
            </w:tcMar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b/>
                <w:bCs/>
                <w:color w:val="FFFFFF"/>
                <w:sz w:val="21"/>
                <w:szCs w:val="21"/>
              </w:rPr>
              <w:t>TOTAL</w:t>
            </w:r>
          </w:p>
        </w:tc>
        <w:tc>
          <w:tcPr>
            <w:tcW w:w="1799" w:type="dxa"/>
            <w:tcBorders>
              <w:top w:val="single" w:sz="8" w:space="0" w:color="8B2B8B"/>
              <w:bottom w:val="single" w:sz="8" w:space="0" w:color="8B2B8B"/>
              <w:right w:val="single" w:sz="8" w:space="0" w:color="8B2B8B"/>
            </w:tcBorders>
            <w:shd w:fill="8B2B8B" w:val="clear"/>
            <w:tcMar>
              <w:top w:w="80" w:type="dxa"/>
              <w:left w:w="120" w:type="dxa"/>
              <w:bottom w:w="80" w:type="dxa"/>
              <w:right w:w="108" w:type="dxa"/>
            </w:tcMar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b/>
                <w:bCs/>
                <w:color w:val="FFFFFF"/>
                <w:sz w:val="21"/>
                <w:szCs w:val="21"/>
              </w:rPr>
              <w:t>GHS {{TOTAL}}</w:t>
            </w:r>
          </w:p>
        </w:tc>
      </w:tr>
    </w:tbl>
    <w:p>
      <w:pPr>
        <w:pStyle w:val="normal1"/>
        <w:spacing w:lineRule="auto" w:line="240" w:before="0" w:after="300"/>
        <w:rPr/>
      </w:pPr>
      <w:r>
        <w:rPr/>
      </w:r>
    </w:p>
    <w:p>
      <w:pPr>
        <w:pStyle w:val="normal1"/>
        <w:shd w:val="clear" w:fill="F5EBF5"/>
        <w:spacing w:lineRule="auto" w:line="240" w:before="0" w:after="120"/>
        <w:rPr/>
      </w:pPr>
      <w:r>
        <w:rPr>
          <w:rFonts w:eastAsia="Calibri" w:cs="Calibri"/>
          <w:b/>
          <w:bCs/>
          <w:sz w:val="21"/>
          <w:szCs w:val="21"/>
        </w:rPr>
        <w:t xml:space="preserve">  </w:t>
      </w:r>
      <w:r>
        <w:rPr>
          <w:rFonts w:eastAsia="Calibri" w:cs="Calibri"/>
          <w:b/>
          <w:bCs/>
          <w:sz w:val="21"/>
          <w:szCs w:val="21"/>
        </w:rPr>
        <w:t>Recipient Bank Details</w:t>
      </w:r>
    </w:p>
    <w:tbl>
      <w:tblPr>
        <w:tblStyle w:val="Table3"/>
        <w:tblW w:w="7000" w:type="dxa"/>
        <w:jc w:val="left"/>
        <w:tblInd w:w="0" w:type="dxa"/>
        <w:tblLayout w:type="fixed"/>
        <w:tblCellMar>
          <w:top w:w="40" w:type="dxa"/>
          <w:left w:w="108" w:type="dxa"/>
          <w:bottom w:w="40" w:type="dxa"/>
          <w:right w:w="108" w:type="dxa"/>
        </w:tblCellMar>
        <w:tblLook w:val="0000"/>
      </w:tblPr>
      <w:tblGrid>
        <w:gridCol w:w="2400"/>
        <w:gridCol w:w="4599"/>
      </w:tblGrid>
      <w:tr>
        <w:trPr/>
        <w:tc>
          <w:tcPr>
            <w:tcW w:w="2400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b/>
                <w:bCs/>
                <w:sz w:val="19"/>
                <w:szCs w:val="19"/>
              </w:rPr>
              <w:t>Name:</w:t>
            </w:r>
          </w:p>
        </w:tc>
        <w:tc>
          <w:tcPr>
            <w:tcW w:w="4599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sz w:val="19"/>
                <w:szCs w:val="19"/>
              </w:rPr>
              <w:t>JUDY INNOVATIVE TECH LTD</w:t>
            </w:r>
          </w:p>
        </w:tc>
      </w:tr>
      <w:tr>
        <w:trPr/>
        <w:tc>
          <w:tcPr>
            <w:tcW w:w="2400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b/>
                <w:bCs/>
                <w:sz w:val="19"/>
                <w:szCs w:val="19"/>
              </w:rPr>
              <w:t>Business Address:</w:t>
            </w:r>
          </w:p>
        </w:tc>
        <w:tc>
          <w:tcPr>
            <w:tcW w:w="4599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sz w:val="19"/>
                <w:szCs w:val="19"/>
              </w:rPr>
              <w:t>19 Banana Street, East Legon</w:t>
            </w:r>
          </w:p>
        </w:tc>
      </w:tr>
      <w:tr>
        <w:trPr/>
        <w:tc>
          <w:tcPr>
            <w:tcW w:w="2400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b/>
                <w:bCs/>
                <w:sz w:val="19"/>
                <w:szCs w:val="19"/>
              </w:rPr>
              <w:t>Account Number:</w:t>
            </w:r>
          </w:p>
        </w:tc>
        <w:tc>
          <w:tcPr>
            <w:tcW w:w="4599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sz w:val="19"/>
                <w:szCs w:val="19"/>
              </w:rPr>
              <w:t>216116279110</w:t>
            </w:r>
          </w:p>
        </w:tc>
      </w:tr>
      <w:tr>
        <w:trPr/>
        <w:tc>
          <w:tcPr>
            <w:tcW w:w="2400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b/>
                <w:bCs/>
                <w:sz w:val="19"/>
                <w:szCs w:val="19"/>
              </w:rPr>
              <w:t>Bank Name:</w:t>
            </w:r>
          </w:p>
        </w:tc>
        <w:tc>
          <w:tcPr>
            <w:tcW w:w="4599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sz w:val="19"/>
                <w:szCs w:val="19"/>
              </w:rPr>
              <w:t>Guaranty Trust Bank</w:t>
            </w:r>
          </w:p>
        </w:tc>
      </w:tr>
      <w:tr>
        <w:trPr/>
        <w:tc>
          <w:tcPr>
            <w:tcW w:w="2400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b/>
                <w:bCs/>
                <w:sz w:val="19"/>
                <w:szCs w:val="19"/>
              </w:rPr>
              <w:t>Bank Address:</w:t>
            </w:r>
          </w:p>
        </w:tc>
        <w:tc>
          <w:tcPr>
            <w:tcW w:w="4599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sz w:val="19"/>
                <w:szCs w:val="19"/>
              </w:rPr>
              <w:t>Lagos Avenue, East Legon, Accra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76" w:before="0" w:after="0"/>
        <w:ind w:hanging="0" w:left="0" w:right="0"/>
        <w:jc w:val="left"/>
        <w:rPr/>
      </w:pPr>
      <w:r>
        <w:rPr/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footerReference w:type="first" r:id="rId7"/>
      <w:type w:val="nextPage"/>
      <w:pgSz w:w="12240" w:h="15840"/>
      <w:pgMar w:left="1080" w:right="1080" w:gutter="0" w:header="708" w:top="1440" w:footer="708" w:bottom="108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Georgia">
    <w:charset w:val="01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Symbol">
    <w:charset w:val="01"/>
    <w:family w:val="auto"/>
    <w:pitch w:val="variable"/>
    <w:embedRegular r:id="rId22" w:fontKey="{16014A78-CABC-4EF0-12AC-5CD89AEFDE16}"/>
  </w:font>
  <w:font w:name="OpenSymbol">
    <w:altName w:val="Arial Unicode MS"/>
    <w:charset w:val="01"/>
    <w:family w:val="auto"/>
    <w:pitch w:val="variable"/>
    <w:embedRegular r:id="rId23" w:fontKey="{17014A78-CABC-4EF0-12AC-5CD89AEFDE17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spacing w:lineRule="auto" w:line="240" w:before="200" w:after="0"/>
      <w:jc w:val="center"/>
      <w:rPr/>
    </w:pPr>
    <w:r>
      <w:rPr>
        <w:rFonts w:eastAsia="Calibri" w:cs="Calibri"/>
        <w:color w:val="8B2B8B"/>
        <w:sz w:val="18"/>
        <w:szCs w:val="18"/>
      </w:rPr>
      <w:t>JUDY Innovative Technologies Limited (Reg No. CS019370121)</w:t>
    </w:r>
  </w:p>
  <w:p>
    <w:pPr>
      <w:pStyle w:val="normal1"/>
      <w:jc w:val="center"/>
      <w:rPr/>
    </w:pPr>
    <w:r>
      <w:rPr>
        <w:rFonts w:eastAsia="Calibri" w:cs="Calibri"/>
        <w:color w:val="8B2B8B"/>
        <w:sz w:val="18"/>
        <w:szCs w:val="18"/>
      </w:rPr>
      <w:t>19 Aluguntugui Street, East Legon  |  hello@judy.legal  |  +233 24 648 4255</w: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spacing w:lineRule="auto" w:line="240" w:before="200" w:after="0"/>
      <w:jc w:val="center"/>
      <w:rPr/>
    </w:pPr>
    <w:r>
      <w:rPr>
        <w:rFonts w:eastAsia="Calibri" w:cs="Calibri"/>
        <w:color w:val="8B2B8B"/>
        <w:sz w:val="18"/>
        <w:szCs w:val="18"/>
      </w:rPr>
      <w:t>JUDY Innovative Technologies Limited (Reg No. CS019370121)</w:t>
    </w:r>
  </w:p>
  <w:p>
    <w:pPr>
      <w:pStyle w:val="normal1"/>
      <w:jc w:val="center"/>
      <w:rPr/>
    </w:pPr>
    <w:r>
      <w:rPr>
        <w:rFonts w:eastAsia="Calibri" w:cs="Calibri"/>
        <w:color w:val="8B2B8B"/>
        <w:sz w:val="18"/>
        <w:szCs w:val="18"/>
      </w:rPr>
      <w:t>19 Aluguntugui Street, East Legon  |  hello@judy.legal  |  +233 24 648 4255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spacing w:lineRule="auto" w:line="276"/>
      <w:jc w:val="center"/>
      <w:rPr/>
    </w:pPr>
    <w:r>
      <w:rPr/>
      <w:drawing>
        <wp:inline distT="0" distB="0" distL="0" distR="0">
          <wp:extent cx="1585595" cy="471170"/>
          <wp:effectExtent l="0" t="0" r="0" b="0"/>
          <wp:docPr id="1" name="image1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585595" cy="4711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  <w:p>
    <w:pPr>
      <w:pStyle w:val="normal1"/>
      <w:spacing w:lineRule="auto" w:line="240" w:before="0" w:after="200"/>
      <w:jc w:val="center"/>
      <w:rPr/>
    </w:pPr>
    <w:hyperlink r:id="rId2">
      <w:r>
        <w:rPr>
          <w:rStyle w:val="Style3"/>
          <w:color w:val="8B2B8B"/>
          <w:sz w:val="20"/>
          <w:szCs w:val="20"/>
        </w:rPr>
        <w:t>www.judy.legal</w:t>
      </w:r>
    </w:hyperlink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spacing w:lineRule="auto" w:line="276"/>
      <w:jc w:val="center"/>
      <w:rPr/>
    </w:pPr>
    <w:r>
      <w:rPr/>
      <w:drawing>
        <wp:inline distT="0" distB="0" distL="0" distR="0">
          <wp:extent cx="1585595" cy="471170"/>
          <wp:effectExtent l="0" t="0" r="0" b="0"/>
          <wp:docPr id="2" name="image1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585595" cy="4711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  <w:p>
    <w:pPr>
      <w:pStyle w:val="normal1"/>
      <w:spacing w:lineRule="auto" w:line="240" w:before="0" w:after="200"/>
      <w:jc w:val="center"/>
      <w:rPr/>
    </w:pPr>
    <w:hyperlink r:id="rId2">
      <w:r>
        <w:rPr>
          <w:rStyle w:val="Style3"/>
          <w:color w:val="8B2B8B"/>
          <w:sz w:val="20"/>
          <w:szCs w:val="20"/>
        </w:rPr>
        <w:t>www.judy.legal</w:t>
      </w:r>
    </w:hyperlink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3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4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5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6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7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8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20"/>
  <w:embedTrueTypeFonts/>
  <w:defaultTabStop w:val="720"/>
  <w:autoHyphenation w:val="true"/>
  <w:hyphenationZone w:val="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GH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Calibri" w:hAnsi="Calibri" w:eastAsia="Calibri" w:cs="Calibri"/>
      <w:color w:val="auto"/>
      <w:kern w:val="0"/>
      <w:sz w:val="22"/>
      <w:szCs w:val="22"/>
      <w:lang w:val="en-GH" w:eastAsia="zh-CN" w:bidi="hi-IN"/>
    </w:rPr>
  </w:style>
  <w:style w:type="paragraph" w:styleId="Heading1">
    <w:name w:val="heading 1"/>
    <w:basedOn w:val="normal1"/>
    <w:next w:val="normal1"/>
    <w:qFormat/>
    <w:pPr/>
    <w:rPr>
      <w:color w:val="2E74B5"/>
      <w:sz w:val="32"/>
      <w:szCs w:val="32"/>
    </w:rPr>
  </w:style>
  <w:style w:type="paragraph" w:styleId="Heading2">
    <w:name w:val="heading 2"/>
    <w:basedOn w:val="normal1"/>
    <w:next w:val="normal1"/>
    <w:qFormat/>
    <w:pPr/>
    <w:rPr>
      <w:color w:val="2E74B5"/>
      <w:sz w:val="26"/>
      <w:szCs w:val="26"/>
    </w:rPr>
  </w:style>
  <w:style w:type="paragraph" w:styleId="Heading3">
    <w:name w:val="heading 3"/>
    <w:basedOn w:val="normal1"/>
    <w:next w:val="normal1"/>
    <w:qFormat/>
    <w:pPr/>
    <w:rPr>
      <w:color w:val="1F4D78"/>
      <w:sz w:val="24"/>
      <w:szCs w:val="24"/>
    </w:rPr>
  </w:style>
  <w:style w:type="paragraph" w:styleId="Heading4">
    <w:name w:val="heading 4"/>
    <w:basedOn w:val="normal1"/>
    <w:next w:val="normal1"/>
    <w:qFormat/>
    <w:pPr/>
    <w:rPr>
      <w:i/>
      <w:iCs/>
      <w:color w:val="2E74B5"/>
    </w:rPr>
  </w:style>
  <w:style w:type="paragraph" w:styleId="Heading5">
    <w:name w:val="heading 5"/>
    <w:basedOn w:val="normal1"/>
    <w:next w:val="normal1"/>
    <w:qFormat/>
    <w:pPr/>
    <w:rPr>
      <w:color w:val="2E74B5"/>
    </w:rPr>
  </w:style>
  <w:style w:type="paragraph" w:styleId="Heading6">
    <w:name w:val="heading 6"/>
    <w:basedOn w:val="normal1"/>
    <w:next w:val="normal1"/>
    <w:qFormat/>
    <w:pPr/>
    <w:rPr>
      <w:color w:val="1F4D78"/>
    </w:rPr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Charactersuser">
    <w:name w:val="Footnote Characters (user)"/>
    <w:uiPriority w:val="99"/>
    <w:semiHidden/>
    <w:unhideWhenUsed/>
    <w:qFormat/>
    <w:rPr>
      <w:vertAlign w:val="superscript"/>
    </w:rPr>
  </w:style>
  <w:style w:type="character" w:styleId="FootnoteCharacters">
    <w:name w:val="Footnote Characters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FootnoteTextChar">
    <w:name w:val="Footnote Text Char"/>
    <w:link w:val="FootnoteText"/>
    <w:uiPriority w:val="99"/>
    <w:semiHidden/>
    <w:unhideWhenUsed/>
    <w:qFormat/>
    <w:rPr>
      <w:sz w:val="20"/>
      <w:szCs w:val="20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Arial Unicode MS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normal1" w:default="1">
    <w:name w:val="normal1"/>
    <w:qFormat/>
    <w:pPr>
      <w:widowControl/>
      <w:suppressAutoHyphens w:val="true"/>
      <w:bidi w:val="0"/>
      <w:spacing w:before="0" w:after="0"/>
      <w:jc w:val="left"/>
    </w:pPr>
    <w:rPr>
      <w:rFonts w:ascii="Calibri" w:hAnsi="Calibri" w:eastAsia="Calibri" w:cs="Calibri"/>
      <w:color w:val="auto"/>
      <w:kern w:val="0"/>
      <w:sz w:val="22"/>
      <w:szCs w:val="22"/>
      <w:lang w:val="en-GH" w:eastAsia="zh-CN" w:bidi="hi-IN"/>
    </w:rPr>
  </w:style>
  <w:style w:type="paragraph" w:styleId="Title">
    <w:name w:val="Title"/>
    <w:basedOn w:val="normal1"/>
    <w:next w:val="normal1"/>
    <w:qFormat/>
    <w:pPr/>
    <w:rPr>
      <w:sz w:val="56"/>
      <w:szCs w:val="56"/>
    </w:rPr>
  </w:style>
  <w:style w:type="paragraph" w:styleId="StrongEmphasis">
    <w:name w:val="Strong Emphasis"/>
    <w:basedOn w:val="normal1"/>
    <w:next w:val="normal1"/>
    <w:qFormat/>
    <w:pPr/>
    <w:rPr>
      <w:b/>
      <w:bCs/>
    </w:rPr>
  </w:style>
  <w:style w:type="paragraph" w:styleId="ListParagraph">
    <w:name w:val="List Paragraph"/>
    <w:basedOn w:val="normal1"/>
    <w:qFormat/>
    <w:pPr/>
    <w:rPr/>
  </w:style>
  <w:style w:type="paragraph" w:styleId="FootnoteText">
    <w:name w:val="footnote text"/>
    <w:basedOn w:val="normal1"/>
    <w:link w:val="FootnoteTextChar"/>
    <w:uiPriority w:val="99"/>
    <w:semiHidden/>
    <w:unhideWhenUsed/>
    <w:pPr>
      <w:spacing w:lineRule="auto" w:line="240" w:before="0" w:after="0"/>
    </w:pPr>
    <w:rPr>
      <w:sz w:val="20"/>
      <w:szCs w:val="20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<Relationship Id="rId12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s://www.judy.legal/" TargetMode="External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s://www.judy.legal/" TargetMode="Externa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JULRIlHXB5fadTEMAFbKwqNwvCg==">CgMxLjA4AHIhMVJEWTdQZnhuS1JtVUF1TWFzQ3FDQXprZkQ5dmtZVWdE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</TotalTime>
  <Application>LibreOffice/25.2.2.2$MacOSX_AARCH64 LibreOffice_project/7370d4be9e3cf6031a51beef54ff3bda878e3fac</Application>
  <AppVersion>15.0000</AppVersion>
  <Pages>1</Pages>
  <Words>167</Words>
  <Characters>1047</Characters>
  <CharactersWithSpaces>1165</CharactersWithSpaces>
  <Paragraphs>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2026-01-07T06:13:30Z</dcterms:created>
  <dc:creator>Un-named</dc:creator>
  <dc:description/>
  <dc:language>en-GH</dc:language>
  <cp:lastModifiedBy/>
  <dcterms:modified xsi:type="dcterms:W3CDTF">2026-01-07T05:32:50Z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